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0"/>
        <w:gridCol w:w="6951"/>
      </w:tblGrid>
      <w:tr w:rsidR="00C132BD" w:rsidRPr="00FF5D96" w:rsidTr="009346CA">
        <w:trPr>
          <w:trHeight w:val="1532"/>
        </w:trPr>
        <w:tc>
          <w:tcPr>
            <w:tcW w:w="2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C132BD" w:rsidRPr="00FF5D96" w:rsidRDefault="00C132BD" w:rsidP="00FF5D96">
            <w:pPr>
              <w:jc w:val="both"/>
              <w:rPr>
                <w:rFonts w:asciiTheme="minorHAnsi" w:hAnsiTheme="minorHAnsi"/>
              </w:rPr>
            </w:pPr>
            <w:r w:rsidRPr="00FF5D96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1354928" cy="914400"/>
                  <wp:effectExtent l="0" t="0" r="0" b="0"/>
                  <wp:docPr id="1" name="Obraz 1" descr="ted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 descr="ted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090" cy="91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C132BD" w:rsidRPr="00FF5D96" w:rsidRDefault="00C132BD" w:rsidP="00FF5D96">
            <w:pPr>
              <w:pStyle w:val="Nagwek"/>
              <w:jc w:val="both"/>
              <w:rPr>
                <w:rFonts w:asciiTheme="minorHAnsi" w:hAnsiTheme="minorHAnsi"/>
                <w:sz w:val="32"/>
                <w:szCs w:val="28"/>
              </w:rPr>
            </w:pPr>
            <w:r w:rsidRPr="00FF5D96">
              <w:rPr>
                <w:rFonts w:asciiTheme="minorHAnsi" w:hAnsiTheme="minorHAnsi"/>
                <w:sz w:val="32"/>
                <w:szCs w:val="28"/>
              </w:rPr>
              <w:t>BIURO PROJEKTOWO-KOSZTORYSOWE TeDe</w:t>
            </w:r>
          </w:p>
          <w:p w:rsidR="00C132BD" w:rsidRPr="00FF5D96" w:rsidRDefault="00C132BD" w:rsidP="00FF5D96">
            <w:pPr>
              <w:pStyle w:val="Nagwek"/>
              <w:jc w:val="both"/>
              <w:rPr>
                <w:rFonts w:asciiTheme="minorHAnsi" w:hAnsiTheme="minorHAnsi"/>
                <w:sz w:val="32"/>
                <w:szCs w:val="28"/>
              </w:rPr>
            </w:pPr>
            <w:r w:rsidRPr="00FF5D96">
              <w:rPr>
                <w:rFonts w:asciiTheme="minorHAnsi" w:hAnsiTheme="minorHAnsi"/>
                <w:sz w:val="32"/>
                <w:szCs w:val="28"/>
              </w:rPr>
              <w:t xml:space="preserve">Piotr Droździel ul. Orzeszkowej 64; 23-400 Biłgoraj; </w:t>
            </w:r>
          </w:p>
          <w:p w:rsidR="00C132BD" w:rsidRPr="00FF5D96" w:rsidRDefault="00C132BD" w:rsidP="00FF5D96">
            <w:pPr>
              <w:pStyle w:val="Nagwek"/>
              <w:jc w:val="both"/>
              <w:rPr>
                <w:rFonts w:asciiTheme="minorHAnsi" w:hAnsiTheme="minorHAnsi"/>
                <w:sz w:val="32"/>
                <w:szCs w:val="28"/>
              </w:rPr>
            </w:pPr>
            <w:r w:rsidRPr="00FF5D96">
              <w:rPr>
                <w:rFonts w:asciiTheme="minorHAnsi" w:hAnsiTheme="minorHAnsi"/>
                <w:sz w:val="32"/>
                <w:szCs w:val="28"/>
              </w:rPr>
              <w:t>tel. 605 255 383 NIP 918-197-55-13</w:t>
            </w:r>
          </w:p>
        </w:tc>
      </w:tr>
      <w:tr w:rsidR="00C132BD" w:rsidRPr="00FF5D96" w:rsidTr="009346CA">
        <w:trPr>
          <w:trHeight w:val="1050"/>
        </w:trPr>
        <w:tc>
          <w:tcPr>
            <w:tcW w:w="2830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C132BD" w:rsidRPr="00FF5D96" w:rsidRDefault="00C132BD" w:rsidP="00FF5D96">
            <w:pPr>
              <w:jc w:val="both"/>
              <w:rPr>
                <w:rFonts w:asciiTheme="minorHAnsi" w:hAnsiTheme="minorHAnsi"/>
                <w:noProof/>
              </w:rPr>
            </w:pPr>
            <w:r w:rsidRPr="00FF5D96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INWESTOR:</w:t>
            </w:r>
          </w:p>
        </w:tc>
        <w:tc>
          <w:tcPr>
            <w:tcW w:w="6951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 w:rsidRPr="00FF5D96">
              <w:rPr>
                <w:rFonts w:asciiTheme="minorHAnsi" w:hAnsiTheme="minorHAnsi"/>
                <w:b/>
                <w:sz w:val="28"/>
                <w:szCs w:val="28"/>
              </w:rPr>
              <w:t>GMI</w:t>
            </w:r>
            <w:r w:rsidR="00F44409">
              <w:rPr>
                <w:rFonts w:asciiTheme="minorHAnsi" w:hAnsiTheme="minorHAnsi"/>
                <w:b/>
                <w:sz w:val="28"/>
                <w:szCs w:val="28"/>
              </w:rPr>
              <w:t>N</w:t>
            </w:r>
            <w:r w:rsidRPr="00FF5D96">
              <w:rPr>
                <w:rFonts w:asciiTheme="minorHAnsi" w:hAnsiTheme="minorHAnsi"/>
                <w:b/>
                <w:sz w:val="28"/>
                <w:szCs w:val="28"/>
              </w:rPr>
              <w:t>A SUŁÓW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  <w:r w:rsidRPr="00FF5D96">
              <w:rPr>
                <w:rFonts w:asciiTheme="minorHAnsi" w:hAnsiTheme="minorHAnsi"/>
                <w:sz w:val="28"/>
                <w:szCs w:val="28"/>
              </w:rPr>
              <w:t>SUŁÓW 63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  <w:r w:rsidRPr="00FF5D96">
              <w:rPr>
                <w:rFonts w:asciiTheme="minorHAnsi" w:hAnsiTheme="minorHAnsi"/>
                <w:sz w:val="28"/>
                <w:szCs w:val="28"/>
              </w:rPr>
              <w:t>22-448SUŁÓW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C132BD" w:rsidRPr="00FF5D96" w:rsidTr="009346CA">
        <w:trPr>
          <w:trHeight w:val="999"/>
        </w:trPr>
        <w:tc>
          <w:tcPr>
            <w:tcW w:w="9781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132BD" w:rsidRPr="00FF5D96" w:rsidRDefault="00C132BD" w:rsidP="00544199">
            <w:pPr>
              <w:jc w:val="center"/>
              <w:rPr>
                <w:rFonts w:asciiTheme="minorHAnsi" w:hAnsiTheme="minorHAnsi"/>
                <w:b/>
                <w:sz w:val="40"/>
                <w:szCs w:val="32"/>
              </w:rPr>
            </w:pPr>
            <w:r w:rsidRPr="00FF5D96">
              <w:rPr>
                <w:rFonts w:asciiTheme="minorHAnsi" w:hAnsiTheme="minorHAnsi"/>
                <w:b/>
                <w:sz w:val="40"/>
                <w:szCs w:val="32"/>
              </w:rPr>
              <w:t xml:space="preserve">SPECYFIKACJA </w:t>
            </w:r>
            <w:r w:rsidR="00544199">
              <w:rPr>
                <w:rFonts w:asciiTheme="minorHAnsi" w:hAnsiTheme="minorHAnsi"/>
                <w:b/>
                <w:sz w:val="40"/>
                <w:szCs w:val="32"/>
              </w:rPr>
              <w:t xml:space="preserve">ZAKUPOWA </w:t>
            </w:r>
            <w:r w:rsidR="00C944DC">
              <w:rPr>
                <w:rFonts w:asciiTheme="minorHAnsi" w:hAnsiTheme="minorHAnsi"/>
                <w:b/>
                <w:sz w:val="40"/>
                <w:szCs w:val="32"/>
              </w:rPr>
              <w:t>NAGŁOŚNIENIA I OŚWIETLENIA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</w:tr>
      <w:tr w:rsidR="00C132BD" w:rsidRPr="00FF5D96" w:rsidTr="009346CA">
        <w:trPr>
          <w:trHeight w:val="1832"/>
        </w:trPr>
        <w:tc>
          <w:tcPr>
            <w:tcW w:w="2830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  <w:r w:rsidRPr="00FF5D96">
              <w:rPr>
                <w:rFonts w:asciiTheme="minorHAnsi" w:hAnsiTheme="minorHAnsi"/>
                <w:b/>
                <w:u w:val="single"/>
              </w:rPr>
              <w:t>NAZWA INWESTYCJI: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C132BD" w:rsidRDefault="00EB30AA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BUDYNEK:</w:t>
            </w:r>
          </w:p>
          <w:p w:rsidR="00EB30AA" w:rsidRPr="00FF5D96" w:rsidRDefault="00EB30AA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  <w:r w:rsidRPr="00FF5D96">
              <w:rPr>
                <w:rFonts w:asciiTheme="minorHAnsi" w:hAnsiTheme="minorHAnsi"/>
                <w:b/>
                <w:u w:val="single"/>
              </w:rPr>
              <w:t>LOKALIZACJA: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</w:tc>
        <w:tc>
          <w:tcPr>
            <w:tcW w:w="69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C132BD" w:rsidRPr="00FF5D96" w:rsidRDefault="00C944DC" w:rsidP="00FF5D96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REMONT BUDYNKU Z PRZEZNACZENIEM NA CENTRUM SPOŁECZNO – KULTURALNE W SUŁOWIE</w:t>
            </w:r>
          </w:p>
          <w:p w:rsidR="00C132BD" w:rsidRPr="00FF5D96" w:rsidRDefault="00C132BD" w:rsidP="00FF5D96">
            <w:pPr>
              <w:tabs>
                <w:tab w:val="left" w:pos="2719"/>
              </w:tabs>
              <w:jc w:val="both"/>
              <w:rPr>
                <w:rFonts w:asciiTheme="minorHAnsi" w:hAnsiTheme="minorHAnsi"/>
              </w:rPr>
            </w:pPr>
          </w:p>
          <w:p w:rsidR="00EB30AA" w:rsidRDefault="00EB30AA" w:rsidP="00FF5D96">
            <w:pPr>
              <w:tabs>
                <w:tab w:val="left" w:pos="2719"/>
              </w:tabs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BUDYNEK STRAŻY POŻARNEJ</w:t>
            </w:r>
          </w:p>
          <w:p w:rsidR="00C132BD" w:rsidRPr="00FF5D96" w:rsidRDefault="00C132BD" w:rsidP="00FF5D96">
            <w:pPr>
              <w:tabs>
                <w:tab w:val="left" w:pos="2719"/>
              </w:tabs>
              <w:jc w:val="both"/>
              <w:rPr>
                <w:rFonts w:asciiTheme="minorHAnsi" w:hAnsiTheme="minorHAnsi"/>
              </w:rPr>
            </w:pPr>
            <w:r w:rsidRPr="00FF5D96">
              <w:rPr>
                <w:rFonts w:asciiTheme="minorHAnsi" w:hAnsiTheme="minorHAnsi"/>
              </w:rPr>
              <w:tab/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 w:cstheme="minorHAnsi"/>
              </w:rPr>
            </w:pPr>
            <w:r w:rsidRPr="00FF5D96">
              <w:rPr>
                <w:rFonts w:asciiTheme="minorHAnsi" w:hAnsiTheme="minorHAnsi" w:cstheme="minorHAnsi"/>
              </w:rPr>
              <w:t xml:space="preserve">Dz. nr </w:t>
            </w:r>
            <w:r w:rsidR="00C944DC">
              <w:rPr>
                <w:rFonts w:asciiTheme="minorHAnsi" w:hAnsiTheme="minorHAnsi" w:cstheme="minorHAnsi"/>
              </w:rPr>
              <w:t>412/1; 412/3; 415/2; 415/3; 413/6</w:t>
            </w:r>
            <w:r w:rsidRPr="00FF5D96">
              <w:rPr>
                <w:rFonts w:asciiTheme="minorHAnsi" w:hAnsiTheme="minorHAnsi" w:cstheme="minorHAnsi"/>
              </w:rPr>
              <w:t>; jednostka 062012_2 Sułów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</w:rPr>
            </w:pP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</w:rPr>
            </w:pPr>
          </w:p>
        </w:tc>
      </w:tr>
      <w:tr w:rsidR="00C132BD" w:rsidRPr="00FF5D96" w:rsidTr="009346CA">
        <w:trPr>
          <w:trHeight w:val="5886"/>
        </w:trPr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41" w:rightFromText="141" w:vertAnchor="page" w:horzAnchor="margin" w:tblpY="1341"/>
              <w:tblOverlap w:val="never"/>
              <w:tblW w:w="9781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2118"/>
              <w:gridCol w:w="1946"/>
              <w:gridCol w:w="2584"/>
              <w:gridCol w:w="3133"/>
            </w:tblGrid>
            <w:tr w:rsidR="00C132BD" w:rsidRPr="00FF5D96" w:rsidTr="00C132BD">
              <w:trPr>
                <w:trHeight w:val="369"/>
              </w:trPr>
              <w:tc>
                <w:tcPr>
                  <w:tcW w:w="2118" w:type="dxa"/>
                  <w:tcBorders>
                    <w:left w:val="nil"/>
                  </w:tcBorders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FF5D96">
                    <w:rPr>
                      <w:rFonts w:asciiTheme="minorHAnsi" w:hAnsiTheme="minorHAnsi"/>
                      <w:b/>
                      <w:sz w:val="20"/>
                    </w:rPr>
                    <w:t>BRANŻA/FUNKCJA</w:t>
                  </w:r>
                </w:p>
              </w:tc>
              <w:tc>
                <w:tcPr>
                  <w:tcW w:w="1946" w:type="dxa"/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FF5D96">
                    <w:rPr>
                      <w:rFonts w:asciiTheme="minorHAnsi" w:hAnsiTheme="minorHAnsi"/>
                      <w:b/>
                    </w:rPr>
                    <w:t>Imię i nazwisko</w:t>
                  </w:r>
                </w:p>
              </w:tc>
              <w:tc>
                <w:tcPr>
                  <w:tcW w:w="2584" w:type="dxa"/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FF5D96">
                    <w:rPr>
                      <w:rFonts w:asciiTheme="minorHAnsi" w:hAnsiTheme="minorHAnsi"/>
                      <w:b/>
                    </w:rPr>
                    <w:t>Uprawnienia budowlane</w:t>
                  </w:r>
                </w:p>
              </w:tc>
              <w:tc>
                <w:tcPr>
                  <w:tcW w:w="3133" w:type="dxa"/>
                  <w:tcBorders>
                    <w:right w:val="nil"/>
                  </w:tcBorders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FF5D96">
                    <w:rPr>
                      <w:rFonts w:asciiTheme="minorHAnsi" w:hAnsiTheme="minorHAnsi"/>
                      <w:b/>
                    </w:rPr>
                    <w:t>Podpis</w:t>
                  </w:r>
                </w:p>
              </w:tc>
            </w:tr>
            <w:tr w:rsidR="00C132BD" w:rsidRPr="00FF5D96" w:rsidTr="00C132BD">
              <w:trPr>
                <w:trHeight w:val="824"/>
              </w:trPr>
              <w:tc>
                <w:tcPr>
                  <w:tcW w:w="2118" w:type="dxa"/>
                  <w:tcBorders>
                    <w:left w:val="nil"/>
                  </w:tcBorders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</w:rPr>
                  </w:pPr>
                  <w:r w:rsidRPr="00FF5D96">
                    <w:rPr>
                      <w:rFonts w:asciiTheme="minorHAnsi" w:hAnsiTheme="minorHAnsi"/>
                    </w:rPr>
                    <w:t>Projektant</w:t>
                  </w:r>
                </w:p>
              </w:tc>
              <w:tc>
                <w:tcPr>
                  <w:tcW w:w="1946" w:type="dxa"/>
                </w:tcPr>
                <w:p w:rsidR="00C132BD" w:rsidRPr="00FF5D96" w:rsidRDefault="00C132BD" w:rsidP="00253BEE">
                  <w:pPr>
                    <w:rPr>
                      <w:rFonts w:asciiTheme="minorHAnsi" w:hAnsiTheme="minorHAnsi"/>
                    </w:rPr>
                  </w:pPr>
                  <w:r w:rsidRPr="00FF5D96">
                    <w:rPr>
                      <w:rFonts w:asciiTheme="minorHAnsi" w:hAnsiTheme="minorHAnsi"/>
                    </w:rPr>
                    <w:t>mgr inż. Piotr Droździel</w:t>
                  </w:r>
                </w:p>
              </w:tc>
              <w:tc>
                <w:tcPr>
                  <w:tcW w:w="2584" w:type="dxa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</w:rPr>
                  </w:pPr>
                  <w:r w:rsidRPr="00FF5D96">
                    <w:rPr>
                      <w:rFonts w:asciiTheme="minorHAnsi" w:hAnsiTheme="minorHAnsi"/>
                    </w:rPr>
                    <w:t>LUB/0364/PWBKb/15</w:t>
                  </w:r>
                </w:p>
                <w:p w:rsidR="00C132BD" w:rsidRPr="00FF5D96" w:rsidRDefault="00C132BD" w:rsidP="00253BEE">
                  <w:pPr>
                    <w:rPr>
                      <w:rFonts w:asciiTheme="minorHAnsi" w:hAnsiTheme="minorHAnsi"/>
                    </w:rPr>
                  </w:pPr>
                  <w:r w:rsidRPr="00FF5D96">
                    <w:rPr>
                      <w:rFonts w:asciiTheme="minorHAnsi" w:hAnsiTheme="minorHAnsi"/>
                      <w:sz w:val="16"/>
                    </w:rPr>
                    <w:t>uprawnia budowlane do projektowania i kierowania robotamibezograniczeń w specjalności konstrukcyjno - budowlanej</w:t>
                  </w:r>
                </w:p>
              </w:tc>
              <w:tc>
                <w:tcPr>
                  <w:tcW w:w="3133" w:type="dxa"/>
                  <w:tcBorders>
                    <w:right w:val="nil"/>
                  </w:tcBorders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</w:tr>
            <w:tr w:rsidR="00C132BD" w:rsidRPr="00FF5D96" w:rsidTr="00C132BD">
              <w:trPr>
                <w:trHeight w:val="708"/>
              </w:trPr>
              <w:tc>
                <w:tcPr>
                  <w:tcW w:w="2118" w:type="dxa"/>
                  <w:tcBorders>
                    <w:left w:val="nil"/>
                  </w:tcBorders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1946" w:type="dxa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2584" w:type="dxa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133" w:type="dxa"/>
                  <w:tcBorders>
                    <w:right w:val="nil"/>
                  </w:tcBorders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544199" w:rsidRDefault="00544199" w:rsidP="00FF5D96">
            <w:pPr>
              <w:jc w:val="both"/>
              <w:rPr>
                <w:rFonts w:asciiTheme="minorHAnsi" w:hAnsiTheme="minorHAnsi"/>
              </w:rPr>
            </w:pPr>
          </w:p>
          <w:p w:rsidR="00544199" w:rsidRPr="00544199" w:rsidRDefault="00544199" w:rsidP="00544199">
            <w:pPr>
              <w:rPr>
                <w:rFonts w:asciiTheme="minorHAnsi" w:hAnsiTheme="minorHAnsi"/>
              </w:rPr>
            </w:pPr>
          </w:p>
          <w:p w:rsidR="00544199" w:rsidRPr="00544199" w:rsidRDefault="00544199" w:rsidP="00544199">
            <w:pPr>
              <w:rPr>
                <w:rFonts w:asciiTheme="minorHAnsi" w:hAnsiTheme="minorHAnsi"/>
              </w:rPr>
            </w:pPr>
          </w:p>
          <w:p w:rsidR="00544199" w:rsidRPr="00544199" w:rsidRDefault="00544199" w:rsidP="00544199">
            <w:pPr>
              <w:rPr>
                <w:rFonts w:asciiTheme="minorHAnsi" w:hAnsiTheme="minorHAnsi"/>
              </w:rPr>
            </w:pPr>
          </w:p>
          <w:p w:rsidR="00544199" w:rsidRPr="00544199" w:rsidRDefault="00544199" w:rsidP="00544199">
            <w:pPr>
              <w:rPr>
                <w:rFonts w:asciiTheme="minorHAnsi" w:hAnsiTheme="minorHAnsi"/>
              </w:rPr>
            </w:pPr>
          </w:p>
          <w:p w:rsidR="00544199" w:rsidRDefault="00544199" w:rsidP="00544199">
            <w:pPr>
              <w:rPr>
                <w:rFonts w:asciiTheme="minorHAnsi" w:hAnsiTheme="minorHAnsi"/>
              </w:rPr>
            </w:pPr>
          </w:p>
          <w:p w:rsidR="00C944DC" w:rsidRDefault="00C944DC" w:rsidP="00544199">
            <w:pPr>
              <w:rPr>
                <w:rFonts w:asciiTheme="minorHAnsi" w:hAnsiTheme="minorHAnsi"/>
              </w:rPr>
            </w:pPr>
          </w:p>
          <w:p w:rsidR="00C944DC" w:rsidRDefault="00C944DC" w:rsidP="00544199">
            <w:pPr>
              <w:rPr>
                <w:rFonts w:asciiTheme="minorHAnsi" w:hAnsiTheme="minorHAnsi"/>
              </w:rPr>
            </w:pPr>
          </w:p>
          <w:p w:rsidR="00544199" w:rsidRDefault="00544199" w:rsidP="00544199">
            <w:pPr>
              <w:rPr>
                <w:rFonts w:asciiTheme="minorHAnsi" w:hAnsiTheme="minorHAnsi"/>
              </w:rPr>
            </w:pPr>
          </w:p>
          <w:p w:rsidR="00544199" w:rsidRPr="00544199" w:rsidRDefault="00544199" w:rsidP="00544199">
            <w:pPr>
              <w:rPr>
                <w:rFonts w:asciiTheme="minorHAnsi" w:hAnsiTheme="minorHAnsi"/>
              </w:rPr>
            </w:pPr>
          </w:p>
          <w:p w:rsidR="00C132BD" w:rsidRPr="00544199" w:rsidRDefault="00C132BD" w:rsidP="00544199">
            <w:pPr>
              <w:rPr>
                <w:rFonts w:asciiTheme="minorHAnsi" w:hAnsiTheme="minorHAnsi"/>
              </w:rPr>
            </w:pPr>
          </w:p>
        </w:tc>
      </w:tr>
      <w:tr w:rsidR="00C132BD" w:rsidRPr="00FF5D96" w:rsidTr="009346CA">
        <w:trPr>
          <w:trHeight w:val="315"/>
        </w:trPr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2BD" w:rsidRPr="00FF5D96" w:rsidRDefault="00C944DC" w:rsidP="00C944DC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u w:val="single"/>
              </w:rPr>
              <w:t>Biłgoraj, dnia 01.2018</w:t>
            </w:r>
            <w:r w:rsidR="00C132BD" w:rsidRPr="00FF5D96">
              <w:rPr>
                <w:rFonts w:asciiTheme="minorHAnsi" w:hAnsiTheme="minorHAnsi"/>
                <w:u w:val="single"/>
              </w:rPr>
              <w:t>r</w:t>
            </w:r>
          </w:p>
        </w:tc>
      </w:tr>
    </w:tbl>
    <w:p w:rsidR="00C944DC" w:rsidRDefault="00C944DC" w:rsidP="00C944DC">
      <w:pPr>
        <w:autoSpaceDE w:val="0"/>
        <w:autoSpaceDN w:val="0"/>
        <w:adjustRightInd w:val="0"/>
        <w:rPr>
          <w:b/>
          <w:sz w:val="28"/>
          <w:lang w:val="en-US"/>
        </w:rPr>
      </w:pPr>
    </w:p>
    <w:p w:rsidR="00C944DC" w:rsidRPr="00C944DC" w:rsidRDefault="00C944DC" w:rsidP="00C944DC">
      <w:pPr>
        <w:autoSpaceDE w:val="0"/>
        <w:autoSpaceDN w:val="0"/>
        <w:adjustRightInd w:val="0"/>
        <w:rPr>
          <w:b/>
          <w:sz w:val="28"/>
          <w:lang w:val="en-US"/>
        </w:rPr>
      </w:pPr>
      <w:r w:rsidRPr="00C944DC">
        <w:rPr>
          <w:b/>
          <w:sz w:val="28"/>
          <w:lang w:val="en-US"/>
        </w:rPr>
        <w:t>SCENA W BUDYNKU</w:t>
      </w:r>
      <w:r>
        <w:rPr>
          <w:b/>
          <w:sz w:val="28"/>
          <w:lang w:val="en-US"/>
        </w:rPr>
        <w:t xml:space="preserve"> BYŁEJ REMIZY STRAŻACKIEJ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Cyfrowy mikser x 1 szt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A764E2" w:rsidRDefault="00A764E2" w:rsidP="00A764E2">
      <w:r>
        <w:t>- Rodzaj i przeznaczenie: Cyfrowa konsola foniczna przeznaczona do realizacji dźwięku „na żywo”.</w:t>
      </w:r>
    </w:p>
    <w:p w:rsidR="00A764E2" w:rsidRDefault="00A764E2" w:rsidP="00A764E2">
      <w:r>
        <w:t>- Liczba kanałów miksowania: ≥ 40 stereo lub ≥ 80 mono</w:t>
      </w:r>
    </w:p>
    <w:p w:rsidR="00A764E2" w:rsidRDefault="00A764E2" w:rsidP="00A764E2">
      <w:r>
        <w:t xml:space="preserve">- </w:t>
      </w:r>
      <w:r w:rsidRPr="00761065">
        <w:t>Liczba szyn wyjściowych</w:t>
      </w:r>
      <w:r>
        <w:t xml:space="preserve"> typu AUX/FX: ≥ 10 mono + 6 stereo lub ≥ 22 mono</w:t>
      </w:r>
    </w:p>
    <w:p w:rsidR="00A764E2" w:rsidRDefault="00A764E2" w:rsidP="00A764E2">
      <w:r>
        <w:t>- Liczba szyn wyjściowych matrycowych: ≥ 8 mono lub ≥ 4 stereo</w:t>
      </w:r>
    </w:p>
    <w:p w:rsidR="00A764E2" w:rsidRDefault="00A764E2" w:rsidP="00A764E2">
      <w:r>
        <w:t>- Liczba grup VCA/DCA: ≥ 8</w:t>
      </w:r>
    </w:p>
    <w:p w:rsidR="00A764E2" w:rsidRDefault="00A764E2" w:rsidP="00A764E2">
      <w:r>
        <w:t xml:space="preserve">- </w:t>
      </w:r>
      <w:r w:rsidRPr="00761065">
        <w:t>Liczba, długość i funkcje regulatorów suwakowych</w:t>
      </w:r>
      <w:r>
        <w:t>: ≥ 21 regulatorów o długości ≥ 10 cm, w tym minimum 1 regulator „Master” dostępny niezależnie od wyboru warstwy</w:t>
      </w:r>
    </w:p>
    <w:p w:rsidR="00A764E2" w:rsidRDefault="00A764E2" w:rsidP="00A764E2">
      <w:r>
        <w:t>- Liczba i funkcjonalność wbudowanych ekranów: ≥1 kolorowy, dotykowy</w:t>
      </w:r>
    </w:p>
    <w:p w:rsidR="00A764E2" w:rsidRDefault="00A764E2" w:rsidP="00A764E2">
      <w:r>
        <w:t>- Liczba wbudowanych procesorów efektowych: ≥4</w:t>
      </w:r>
    </w:p>
    <w:p w:rsidR="00A764E2" w:rsidRDefault="00A764E2" w:rsidP="00A764E2">
      <w:r>
        <w:t>- Liczba dostępnych korektorów graficznych – tercjowych: ≥16</w:t>
      </w:r>
    </w:p>
    <w:p w:rsidR="00A764E2" w:rsidRDefault="00A764E2" w:rsidP="00A764E2">
      <w:r>
        <w:t>- Procesory sygnałowe dostępne na każdym z kanałów wejściowych: Filtr dolnozaporowy, EQ parametryczne, czteropasmowe, dwa niezależne procesory dynamiki (minimum bramka szumów, kompresor), linia opóźniająca, direct-out.</w:t>
      </w:r>
    </w:p>
    <w:p w:rsidR="00A764E2" w:rsidRDefault="00A764E2" w:rsidP="00A764E2">
      <w:r>
        <w:t>- Procesory sygnałowe dostępne na każdej z szyn wyjściowych: Filtr dolnozaporowy, EQ parametryczne, czteropasmowe,  kompresor, linia opóźniająca, zmiana polaryzacji sygnału</w:t>
      </w:r>
    </w:p>
    <w:p w:rsidR="00A764E2" w:rsidRDefault="00A764E2" w:rsidP="00A764E2">
      <w:r>
        <w:t xml:space="preserve">- Wejścia analogowe w konsolecie, liczba i rodzaj: ≥24 analogowe, symetryczne mikrofonowo-liniowe  ze złączami XLR, </w:t>
      </w:r>
      <w:r w:rsidRPr="00BE33DB">
        <w:t>+48 V załączane niezależnie dla każdego z kanałów</w:t>
      </w:r>
    </w:p>
    <w:p w:rsidR="00A764E2" w:rsidRDefault="00A764E2" w:rsidP="00A764E2">
      <w:r>
        <w:t>- Wyjścia zainstalowane w konsolecie: ≥12analogowe, symetryczne</w:t>
      </w:r>
      <w:r w:rsidRPr="006E3CDE">
        <w:t>, ze złączami XLR</w:t>
      </w:r>
      <w:r>
        <w:t>, ≥1 x cyfrowe AES/EBU (2 ch), ze złączem XLR</w:t>
      </w:r>
    </w:p>
    <w:p w:rsidR="00A764E2" w:rsidRDefault="00A764E2" w:rsidP="00A764E2">
      <w:r>
        <w:t>- Zakres parametrów</w:t>
      </w:r>
      <w:r w:rsidRPr="00A8729F">
        <w:t xml:space="preserve"> środowiska w czasie pracy</w:t>
      </w:r>
      <w:r>
        <w:t>: Min. 0 – 40 ⁰C, 0 – 90% wilgotności bez kondensacji.</w:t>
      </w:r>
    </w:p>
    <w:p w:rsidR="00A764E2" w:rsidRDefault="00A764E2" w:rsidP="00A764E2">
      <w:r>
        <w:t>- Wymiary: &lt; 77 cm (szer.) x 60 cm (głęb.) x 30 cm (wys.)</w:t>
      </w:r>
    </w:p>
    <w:p w:rsidR="00A764E2" w:rsidRDefault="00A764E2" w:rsidP="00A764E2">
      <w:r>
        <w:t>- Konsoleta wyposażona w Interfejs USB 2.0 umożliwiający dwukierunkową transmisję sygnałów audio pomiędzy konsoletą a komputerem klasy PC minimum 32 x 32 kanałów</w:t>
      </w:r>
    </w:p>
    <w:p w:rsidR="00A764E2" w:rsidRDefault="00A764E2" w:rsidP="00A764E2">
      <w:pPr>
        <w:spacing w:line="256" w:lineRule="auto"/>
      </w:pPr>
      <w:r>
        <w:t>- możliwość podłączenia zewnętrznego modułu cyfrowego I/O, z wykorzystaniem wielokanałowego, cyfrowego protokołu przesyłu dźwięku.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 Kolumna aktywna x 2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A721A" w:rsidRDefault="00CA721A" w:rsidP="00CA721A">
      <w:r>
        <w:t>Aktywna kolumna wysokotonowa – 2 szt.</w:t>
      </w:r>
    </w:p>
    <w:p w:rsidR="00CA721A" w:rsidRDefault="00CA721A" w:rsidP="00CA721A">
      <w:r>
        <w:t>-Konstrukcja: Aktywna, dwudrożna, z wbudowanym procesorem DSP</w:t>
      </w:r>
    </w:p>
    <w:p w:rsidR="00CA721A" w:rsidRDefault="00CA721A" w:rsidP="00CA721A">
      <w:r>
        <w:t xml:space="preserve">- Podział pasma: Aktywny z procesorem DSP </w:t>
      </w:r>
    </w:p>
    <w:p w:rsidR="00CA721A" w:rsidRDefault="00CA721A" w:rsidP="00CA721A">
      <w:r>
        <w:t>- Typ wzmacniacza: Bi-Amp, każda sekcja zasilana z niezależnego kanału wzmacniacza</w:t>
      </w:r>
    </w:p>
    <w:p w:rsidR="00CA721A" w:rsidRDefault="00CA721A" w:rsidP="00CA721A">
      <w:r>
        <w:t>- Przetwornik LF: Nie więcej niż jeden, o średnicy ≥12”</w:t>
      </w:r>
    </w:p>
    <w:p w:rsidR="00CA721A" w:rsidRDefault="00CA721A" w:rsidP="00CA721A">
      <w:r>
        <w:t>- Przetwornik HF: Nie więcej niż jeden, kompresyjny driver, o średnicy cewki ≥3” i wylocie ≤1,5”</w:t>
      </w:r>
    </w:p>
    <w:p w:rsidR="00CA721A" w:rsidRDefault="00CA721A" w:rsidP="00CA721A">
      <w:r>
        <w:t>- Dyspersja dźwięku w płaszczyźnie horyzontalnej: 90⁰ ± 10⁰</w:t>
      </w:r>
    </w:p>
    <w:p w:rsidR="00CA721A" w:rsidRDefault="00CA721A" w:rsidP="00CA721A">
      <w:r>
        <w:t>- Dyspersja dźwięku w płaszczyźnie wertykalnej: 50⁰</w:t>
      </w:r>
    </w:p>
    <w:p w:rsidR="00CA721A" w:rsidRDefault="00CA721A" w:rsidP="00CA721A">
      <w:r>
        <w:t xml:space="preserve">- Chłodzenie modułu wzmacniacza: Aktywne, obroty wentylatora regulowane automatycznie w                  </w:t>
      </w:r>
    </w:p>
    <w:p w:rsidR="00CA721A" w:rsidRDefault="00CA721A" w:rsidP="00CA721A">
      <w:r>
        <w:t>zależności od obciążenia.</w:t>
      </w:r>
    </w:p>
    <w:p w:rsidR="00CA721A" w:rsidRDefault="00CA721A" w:rsidP="00CA721A">
      <w:r>
        <w:t>- Zasilanie: 100V – 240V, 50/60Hz</w:t>
      </w:r>
    </w:p>
    <w:p w:rsidR="00CA721A" w:rsidRDefault="00CA721A" w:rsidP="00CA721A">
      <w:r>
        <w:t>- Obudowa: Wykonana ze sklejki z twardych gatunków drewna, wykończona powłoką o                                                                                                                                               podwyższonej odporności mechanicznej.</w:t>
      </w:r>
    </w:p>
    <w:p w:rsidR="00CA721A" w:rsidRDefault="00CA721A" w:rsidP="00CA721A">
      <w:r>
        <w:lastRenderedPageBreak/>
        <w:t>- Maksymalny poziom SPL: ≥136 dB</w:t>
      </w:r>
    </w:p>
    <w:p w:rsidR="00CA721A" w:rsidRDefault="00CA721A" w:rsidP="00CA721A">
      <w:r>
        <w:t>- Pasmo przenoszenia: Nie węższe niż: 60 Hz – 16 kHz ±4dB</w:t>
      </w:r>
    </w:p>
    <w:p w:rsidR="00CA721A" w:rsidRDefault="00CA721A" w:rsidP="00CA721A">
      <w:r>
        <w:t>- Sumaryczna moc maksymalna zainstalowanych wzmacniaczy: ≥2000 W</w:t>
      </w:r>
    </w:p>
    <w:p w:rsidR="00CA721A" w:rsidRDefault="00CA721A" w:rsidP="00CA721A">
      <w:r>
        <w:t xml:space="preserve"> - Wymiary, nie większe niż (wys. X szer. X głęb.): 720 mm x 485 mm x 465 mm</w:t>
      </w:r>
    </w:p>
    <w:p w:rsidR="00CA721A" w:rsidRDefault="00CA721A" w:rsidP="00CA721A">
      <w:r>
        <w:t>- Obudowa wyposażona w co najmniej 8 otworów gwintowanych M10 umożliwiających podwieszenie</w:t>
      </w:r>
    </w:p>
    <w:p w:rsidR="00CA721A" w:rsidRDefault="00CA721A" w:rsidP="00CA721A">
      <w:r>
        <w:t>- Głośnik wyposażony w standardowe gniazdo do ustawienia na statywie kolumnowym</w:t>
      </w:r>
    </w:p>
    <w:p w:rsidR="00CA721A" w:rsidRDefault="00CA721A" w:rsidP="00CA721A">
      <w:r>
        <w:t>- Co najmniej dwa uchwyty umożliwiające transport</w:t>
      </w:r>
    </w:p>
    <w:p w:rsidR="00CA721A" w:rsidRDefault="00CA721A" w:rsidP="00CA721A">
      <w:r>
        <w:t>- Wbudowany procesor DSP musi umożliwiać zdalny monitoring parametr</w:t>
      </w:r>
      <w:r w:rsidR="00CD1CDD">
        <w:t xml:space="preserve">ów pracy wzmacniacza oraz </w:t>
      </w:r>
      <w:bookmarkStart w:id="0" w:name="_GoBack"/>
      <w:bookmarkEnd w:id="0"/>
      <w:r>
        <w:t>raportowanie błędów, za pośrednictwem dedykowanego oprogramowania z poziomu komputera PC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spacing w:before="240" w:after="120"/>
        <w:rPr>
          <w:lang w:val="en-US"/>
        </w:rPr>
      </w:pPr>
      <w:r>
        <w:rPr>
          <w:lang w:val="en-US"/>
        </w:rPr>
        <w:t>Aktywna kolumna niskotonowa x 2 szt</w:t>
      </w:r>
    </w:p>
    <w:p w:rsidR="003D70F6" w:rsidRDefault="003D70F6" w:rsidP="003D70F6">
      <w:r>
        <w:t>- Typ i budowa: Aktywna kolumna subniskotonowa, z wbudowanym procesorem DSP</w:t>
      </w:r>
    </w:p>
    <w:p w:rsidR="003D70F6" w:rsidRDefault="003D70F6" w:rsidP="003D70F6">
      <w:r>
        <w:t>- Typ wzmacniacza: Klasa D</w:t>
      </w:r>
    </w:p>
    <w:p w:rsidR="003D70F6" w:rsidRDefault="003D70F6" w:rsidP="003D70F6">
      <w:r>
        <w:t>- Przetwornik: O średnicy ≥ 440 mm z cewką ≥ 75 mm</w:t>
      </w:r>
    </w:p>
    <w:p w:rsidR="003D70F6" w:rsidRDefault="003D70F6" w:rsidP="003D70F6">
      <w:r>
        <w:t>-   Chłodzenie modułu wzmacniacza: Aktywne, obroty wentylatora regulowane automatycznie w             zależności od obciążenia</w:t>
      </w:r>
    </w:p>
    <w:p w:rsidR="003D70F6" w:rsidRDefault="003D70F6" w:rsidP="003D70F6">
      <w:r>
        <w:t>- Zasilanie: 100V – 240V, 50/60Hz</w:t>
      </w:r>
    </w:p>
    <w:p w:rsidR="003D70F6" w:rsidRDefault="003D70F6" w:rsidP="003D70F6">
      <w:r>
        <w:t>- Procesor DSP: Pracujący z częstotliwością próbkowania min 96 kHz, wykorzystujący filtry typu FIR, możliwość konfiguracji przez użytkownika: min 10 filtrów parametrycznych, opóźnienia (co najmniej 1,5 s), kompresora, obsługa zdalna dzięki protokołowi sieci Ethernet oraz możliwa lokalnie np. za pośrednictwem wbudowanego wyświetlacza</w:t>
      </w:r>
    </w:p>
    <w:p w:rsidR="003D70F6" w:rsidRDefault="003D70F6" w:rsidP="003D70F6">
      <w:r>
        <w:t>- Opcje dodatkowe: Możliwość stworzenia konfiguracji kardioidalnych przy wykorzystaniu większej ilości zestawów, dzięki wbudowanym fabrycznym presetom.</w:t>
      </w:r>
    </w:p>
    <w:p w:rsidR="003D70F6" w:rsidRDefault="003D70F6" w:rsidP="003D70F6">
      <w:r>
        <w:t>- Obudowa: Wykonana ze sklejki z twardych gatunków drewna, wykończona powłoką o podwyższonej odporności mechanicznej</w:t>
      </w:r>
    </w:p>
    <w:p w:rsidR="003D70F6" w:rsidRDefault="003D70F6" w:rsidP="003D70F6">
      <w:r>
        <w:t>- Maksymalny poziom SPL: ≥ 135 dB</w:t>
      </w:r>
    </w:p>
    <w:p w:rsidR="003D70F6" w:rsidRDefault="003D70F6" w:rsidP="003D70F6">
      <w:r>
        <w:t>- Pasmo przenoszenia: Nie węższe niż: 30 Hz – 150 Hz ±10dB</w:t>
      </w:r>
    </w:p>
    <w:p w:rsidR="003D70F6" w:rsidRDefault="003D70F6" w:rsidP="003D70F6">
      <w:r>
        <w:t>- Moc maksymalna zainstalowanego wzmacniacza: ≥ 1000 W</w:t>
      </w:r>
    </w:p>
    <w:p w:rsidR="003D70F6" w:rsidRDefault="003D70F6" w:rsidP="003D70F6">
      <w:r>
        <w:t>- Wymiary (wys. X szer. X głęb.): &lt; 60 cm x 70 cm x 70 cm</w:t>
      </w:r>
    </w:p>
    <w:p w:rsidR="003D70F6" w:rsidRDefault="003D70F6" w:rsidP="003D70F6">
      <w:r>
        <w:t>- Wbudowany gwintowany otwór M20 do zamontowania standardowej sztycy głośnikowej dla zestawów szerokopasmowych</w:t>
      </w:r>
    </w:p>
    <w:p w:rsidR="003D70F6" w:rsidRDefault="003D70F6" w:rsidP="003D70F6">
      <w:r>
        <w:t>- Co najmniej 4 uchwyty umożliwiających transport</w:t>
      </w:r>
    </w:p>
    <w:p w:rsidR="003D70F6" w:rsidRDefault="003D70F6" w:rsidP="003D70F6">
      <w:r>
        <w:t>- Wbudowany procesor DSP musi umożliwiać zdalny monitoring parametrów pracy wzmacniacza oraz raportowanie błędów, za pośrednictwem dedykowanego oprogramowania z poziomu komputera PC lub urządzenia mobilnego iOS/Android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Monitor aktywny x 4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Kolumna 2-dro</w:t>
      </w:r>
      <w:r>
        <w:t>żna, obudowa bas-refleks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 xml:space="preserve">Co najmniej </w:t>
      </w:r>
      <w:r w:rsidR="002D376B">
        <w:rPr>
          <w:lang w:val="en-US"/>
        </w:rPr>
        <w:t>jeden</w:t>
      </w:r>
      <w:r w:rsidR="002D376B">
        <w:t xml:space="preserve"> głośnik 12</w:t>
      </w:r>
      <w:r>
        <w:t xml:space="preserve">"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G</w:t>
      </w:r>
      <w:r>
        <w:t xml:space="preserve">łośnik wysokotonowy </w:t>
      </w:r>
      <w:r w:rsidR="002D376B">
        <w:t>minimum 1”</w:t>
      </w:r>
    </w:p>
    <w:p w:rsidR="00C944DC" w:rsidRDefault="002D376B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Technologia Bi-amp:  wzmacniacz 2 kanałowy</w:t>
      </w:r>
      <w:r w:rsidR="00C944DC">
        <w:rPr>
          <w:lang w:val="en-US"/>
        </w:rPr>
        <w:t xml:space="preserve"> klasy D </w:t>
      </w:r>
      <w:r>
        <w:rPr>
          <w:lang w:val="en-US"/>
        </w:rPr>
        <w:t>minimum łącznie 800 W</w:t>
      </w:r>
    </w:p>
    <w:p w:rsidR="00C944DC" w:rsidRPr="002D376B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2D376B">
        <w:rPr>
          <w:lang w:val="en-US"/>
        </w:rPr>
        <w:t>Cyfrowy procesor sygna</w:t>
      </w:r>
      <w:r w:rsidR="002D376B">
        <w:t>łowy DSP z limiterem, crossoverem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K</w:t>
      </w:r>
      <w:r>
        <w:t>ąt pokrycia</w:t>
      </w:r>
      <w:r w:rsidR="005154C5">
        <w:t xml:space="preserve"> co najmniej</w:t>
      </w:r>
      <w:r>
        <w:t xml:space="preserve"> 90 °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lastRenderedPageBreak/>
        <w:t>Chroni</w:t>
      </w:r>
      <w:r w:rsidR="002D376B">
        <w:t xml:space="preserve">ąca głośniki </w:t>
      </w:r>
      <w:r>
        <w:t xml:space="preserve">powłoka </w:t>
      </w:r>
      <w:r w:rsidR="002D376B">
        <w:t>obudowy oraz grill</w:t>
      </w:r>
    </w:p>
    <w:p w:rsidR="00C944DC" w:rsidRPr="002D376B" w:rsidRDefault="002D376B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 xml:space="preserve">Obudowa zbliżona do </w:t>
      </w:r>
      <w:r w:rsidR="00B334A9">
        <w:rPr>
          <w:lang w:val="en-US"/>
        </w:rPr>
        <w:t>trapezu</w:t>
      </w:r>
      <w:r>
        <w:rPr>
          <w:lang w:val="en-US"/>
        </w:rPr>
        <w:t xml:space="preserve"> w celu stosowania jako monitor</w:t>
      </w:r>
    </w:p>
    <w:p w:rsidR="002D376B" w:rsidRDefault="002D376B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 xml:space="preserve">Pasmo przenoszenia nie węższe niż: (-10dB) 46Hz-20kHz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Sterownik DMX x 1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Kontrola co najmniej do 80 urz</w:t>
      </w:r>
      <w:r>
        <w:t>ądzeń po maksymalnie 40 kanałów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min 600 scen / chase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Ka</w:t>
      </w:r>
      <w:r>
        <w:t>żdy chase może przechowywać 600 kroków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 xml:space="preserve">Łatwy w użyciu generator kształtów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min trzy inteligentne enkondery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Co najmniej 2 linie DMX 512 z optycznie izolowanymi 3 i 5-biegunowymi z</w:t>
      </w:r>
      <w:r>
        <w:t xml:space="preserve">łączami XLR.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 xml:space="preserve">Rolka strony odtwarzania i suwaki odtwarzania,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Mo</w:t>
      </w:r>
      <w:r>
        <w:t xml:space="preserve">żliwość szybkiego dostępu do zapisanych grup urządzeń oraz duży i czytelny wyświetlacz. 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 w:rsidRPr="000F35A6">
        <w:rPr>
          <w:lang w:val="en-US"/>
        </w:rPr>
        <w:t>Case</w:t>
      </w:r>
      <w:r>
        <w:rPr>
          <w:lang w:val="en-US"/>
        </w:rPr>
        <w:t xml:space="preserve"> w zestawie 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obs</w:t>
      </w:r>
      <w:r>
        <w:t xml:space="preserve">ługa świateł automatycznych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obs</w:t>
      </w:r>
      <w:r>
        <w:t>ługa świateł konwencjonalnych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Mikrofon przewodowy x 5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 xml:space="preserve">Charakterystyka: Kardioidalna  lub superkardioidalna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impedancja wej</w:t>
      </w:r>
      <w:r>
        <w:t>ścia</w:t>
      </w:r>
      <w:r w:rsidR="00D32C6B">
        <w:t xml:space="preserve"> nie mniejsza niż: 600Ω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Czu</w:t>
      </w:r>
      <w:r w:rsidR="00D32C6B">
        <w:t>łość: nie gorsza niż 2,6mV/Pa</w:t>
      </w:r>
    </w:p>
    <w:p w:rsidR="00C944DC" w:rsidRPr="00D32C6B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 w:rsidRPr="00D32C6B">
        <w:rPr>
          <w:lang w:val="en-US"/>
        </w:rPr>
        <w:t xml:space="preserve">Pasmo przenoszenia: </w:t>
      </w:r>
      <w:r w:rsidR="00D32C6B" w:rsidRPr="00D32C6B">
        <w:rPr>
          <w:lang w:val="en-US"/>
        </w:rPr>
        <w:t>nie węższe niż 70Hz-20kHz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Rodzaj mikrofonu: Dynamiczny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spacing w:after="120"/>
        <w:rPr>
          <w:lang w:val="en-US"/>
        </w:rPr>
      </w:pPr>
      <w:r>
        <w:rPr>
          <w:lang w:val="en-US"/>
        </w:rPr>
        <w:t>Statyw mikrofonowy x 9 szt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rury cienko</w:t>
      </w:r>
      <w:r>
        <w:t>ścienne stalowe precyzyjne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lakier proszkowy czarny pó</w:t>
      </w:r>
      <w:r>
        <w:t>łmatowy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wszystkie elementy konstrukcyjne wykonane metod</w:t>
      </w:r>
      <w:r>
        <w:t>ą wtrysku ciśnieniowego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pokr</w:t>
      </w:r>
      <w:r>
        <w:t>ętła plastikowe wykonane z wysokoudarowego poliamidu PA-6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Wysi</w:t>
      </w:r>
      <w:r>
        <w:t>ęgnik poziomy 40/70cm, zakończony gwintem 3/8"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Wysoko</w:t>
      </w:r>
      <w:r>
        <w:t>ść max 230cm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Podstawa sk</w:t>
      </w:r>
      <w:r>
        <w:t>ładana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Nó</w:t>
      </w:r>
      <w:r>
        <w:t>żki co najmniej  32cm, zakończone nasadką gumową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Waga: nie wi</w:t>
      </w:r>
      <w:r>
        <w:t xml:space="preserve">ększa niż 3,3kg 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</w:pPr>
      <w:r>
        <w:rPr>
          <w:lang w:val="en-US"/>
        </w:rPr>
        <w:t>Ruchoma g</w:t>
      </w:r>
      <w:r>
        <w:t>łowa LED x 1 kpl ( 4 szt + case)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 xml:space="preserve">LED: co najmniej </w:t>
      </w:r>
      <w:r w:rsidR="008A46B5">
        <w:rPr>
          <w:lang w:val="en-US"/>
        </w:rPr>
        <w:t>18W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Dynamiczne efekty: co najmniej electronic dimming oraz strobe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Co najmniej 7 gobo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Co najmniej 8 kolorowych filtrów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lastRenderedPageBreak/>
        <w:t>Szybkie i płynne ruchy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Aktywacja dźwiękowa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Co najmniej 4 gotowe program pracy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Współpraca z DMX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Uchwyt w zestawie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Kąt co najmniej 14 stopni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Odporność IP minimum 20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</w:pPr>
      <w:r>
        <w:rPr>
          <w:lang w:val="en-US"/>
        </w:rPr>
        <w:t>G</w:t>
      </w:r>
      <w:r>
        <w:t>łowa ruchoma x 4 kpl ( 2 szt + case)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Lampa co najmniej 10R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 xml:space="preserve">Żywotność lampy min. 2000 godzin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Sterowanie min. 16/24 kana</w:t>
      </w:r>
      <w:r>
        <w:t xml:space="preserve">łami DMX 512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Tarcza Gobo 1: min. obrotowe z 9 szklanymi gobami plus bia</w:t>
      </w:r>
      <w:r>
        <w:t xml:space="preserve">ły plus auto rotacja z wymiennymi gobo (średnica: 15,4 mm, efektywna średnica wewnętrzna: 13 mm)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Tarcza Gobo 2: min. 13 metalowych gobo plus bia</w:t>
      </w:r>
      <w:r>
        <w:t xml:space="preserve">ły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Tarcza kolorów 1: min. 13 kolorów plus bia</w:t>
      </w:r>
      <w:r>
        <w:t xml:space="preserve">ły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Pryzma - co najmniej 2 obrotowe pryzmaty, dwustronny, 8-cio krotny pryzmat okr</w:t>
      </w:r>
      <w:r>
        <w:t>ągły i obustronny 6-cio krotny pryzmat liniowy, z efektem Frost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Uk</w:t>
      </w:r>
      <w:r>
        <w:t xml:space="preserve">ład optyczny: regulowany kąt wiązki co najmniej 0 ~ 20 °, przyjmująca system repozycjonowania fotoelektrycznego ( automatyczny reset, w przypadku awarii)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Zakres zoom:  model spot co najmniej 0-20° , model beam co najmniej 4-25°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Regulacja liniowa dimmera w zakresie co najmniej 0-100% (wspomaganie stroboskopu mechanicznego, regulacja pr</w:t>
      </w:r>
      <w:r>
        <w:t xml:space="preserve">ędkości stroboskopu i funkcji stroboskopowych)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Zakres Pan 540 °, Titl 239 ° (automatyczne dok</w:t>
      </w:r>
      <w:r>
        <w:t xml:space="preserve">ładne pozycjonowanie) 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Funkcja efektu stroboskopowego, 0,5-14 razy/s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Ekran dotykowy LCD 2,8” z funkcj</w:t>
      </w:r>
      <w:r>
        <w:t>ą obrotu o 180 °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Zu</w:t>
      </w:r>
      <w:r>
        <w:t xml:space="preserve">życie energii na poziomie: 500W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 xml:space="preserve">Zasilanie: AC 110-240V / 50 ~ 60Hz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Gniazdo DMX IN 3 pin z</w:t>
      </w:r>
      <w:r>
        <w:t xml:space="preserve">łącze XLR F / 5 pin XLR F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 xml:space="preserve">Gniazdo DMX OUT 3 pin XLR M / 5 pin XLR M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Ballast: elektroniczny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Stopie</w:t>
      </w:r>
      <w:r>
        <w:t xml:space="preserve">ń ochrony: co najmniej IP20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Szybko</w:t>
      </w:r>
      <w:r>
        <w:t xml:space="preserve">ść skanowania Pan 540 ° / 3 s, Tilt 239 ° / 2 sec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Co najmniej 15 bezg</w:t>
      </w:r>
      <w:r>
        <w:t xml:space="preserve">łośnych silników krokowych, zawierające 2 jednostki silników trójfazowych pracujące w systemie 16-bitowym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 komplecie zaciski omega plus uchwyty do kratownicy typu Snap Clamp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Wymiar: max. 40 x 30 x 70</w:t>
      </w:r>
      <w:r w:rsidR="00C944DC">
        <w:rPr>
          <w:lang w:val="en-US"/>
        </w:rPr>
        <w:t xml:space="preserve"> cm </w:t>
      </w:r>
    </w:p>
    <w:p w:rsidR="00C944DC" w:rsidRDefault="008A46B5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Wymiary skrzyni max. (WxHxD) 800 x 850 x 500</w:t>
      </w:r>
      <w:r w:rsidR="00C944DC">
        <w:rPr>
          <w:lang w:val="en-US"/>
        </w:rPr>
        <w:t xml:space="preserve"> mm (z ko</w:t>
      </w:r>
      <w:r w:rsidR="00C944DC">
        <w:t xml:space="preserve">łami)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Waga g</w:t>
      </w:r>
      <w:r w:rsidR="00C52132">
        <w:t>łowy: max.  18</w:t>
      </w:r>
      <w:r>
        <w:t xml:space="preserve"> kg </w:t>
      </w:r>
    </w:p>
    <w:p w:rsidR="00C944DC" w:rsidRDefault="00C52132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Waga zestawu z case: max. 70</w:t>
      </w:r>
      <w:r w:rsidR="00C944DC">
        <w:rPr>
          <w:lang w:val="en-US"/>
        </w:rPr>
        <w:t xml:space="preserve"> kg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Kabel mikrofonowy x 11 szt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Wysokiej jako</w:t>
      </w:r>
      <w:r>
        <w:t>ści kabel z przewodem o grubości żył 2 x 0,22 mm</w:t>
      </w:r>
      <w:r>
        <w:rPr>
          <w:lang w:val="en-US"/>
        </w:rPr>
        <w:t xml:space="preserve">² (AWG 24)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D</w:t>
      </w:r>
      <w:r>
        <w:t>ługość 10m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lastRenderedPageBreak/>
        <w:t>Kolor: czarny</w:t>
      </w:r>
    </w:p>
    <w:p w:rsidR="00C944DC" w:rsidRPr="002C08B9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rFonts w:ascii="Calibri" w:hAnsi="Calibri" w:cs="Calibri"/>
          <w:sz w:val="22"/>
          <w:szCs w:val="22"/>
          <w:lang w:val="en-US"/>
        </w:rPr>
      </w:pPr>
      <w:r w:rsidRPr="002C08B9">
        <w:rPr>
          <w:lang w:val="en-US"/>
        </w:rPr>
        <w:t>Wtyk XLR metalowy z elementami z tworzywa sztucznego, z</w:t>
      </w:r>
      <w:r w:rsidR="002C08B9">
        <w:t>łącze lutowane</w:t>
      </w:r>
    </w:p>
    <w:p w:rsidR="002C08B9" w:rsidRPr="002C08B9" w:rsidRDefault="002C08B9" w:rsidP="002C08B9">
      <w:pPr>
        <w:autoSpaceDE w:val="0"/>
        <w:autoSpaceDN w:val="0"/>
        <w:adjustRightInd w:val="0"/>
        <w:ind w:left="72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Kabel mikrofonowy x 2 szt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Wysokiej jako</w:t>
      </w:r>
      <w:r>
        <w:t>ści kabel z przewodem o grubości żył 2 x 0,22 mm</w:t>
      </w:r>
      <w:r>
        <w:rPr>
          <w:lang w:val="en-US"/>
        </w:rPr>
        <w:t xml:space="preserve">² (AWG 24)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D</w:t>
      </w:r>
      <w:r>
        <w:t>ługość 3m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Kolor: czarny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Wtyk XLR metalowy z elementami z tworzywa sztucznego, z</w:t>
      </w:r>
      <w:r w:rsidR="002C08B9">
        <w:t>łącze lutowane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Statyw korbowy x 4 szt</w:t>
      </w: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Obci</w:t>
      </w:r>
      <w:r>
        <w:t xml:space="preserve">ążalność min. 85 kg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Wysoko</w:t>
      </w:r>
      <w:r>
        <w:t xml:space="preserve">ść (min-max) 175-400 cm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Wysoko</w:t>
      </w:r>
      <w:r>
        <w:t xml:space="preserve">ść nóg podstawy max. 150-165 cm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 xml:space="preserve">Średnica podstawy max. 200-220 cm </w:t>
      </w:r>
    </w:p>
    <w:p w:rsidR="00C944DC" w:rsidRDefault="008B7C93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Waga max 30</w:t>
      </w:r>
      <w:r w:rsidR="00C944DC">
        <w:rPr>
          <w:lang w:val="en-US"/>
        </w:rPr>
        <w:t xml:space="preserve"> kg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 xml:space="preserve">Średnica słupa końcowego max. 35 mm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Materia</w:t>
      </w:r>
      <w:r>
        <w:t xml:space="preserve">ł stalowy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Malowanie na czarno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Linka stalowa: grubo</w:t>
      </w:r>
      <w:r>
        <w:t>ść 4mm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 xml:space="preserve">Adapter do kratownicy o </w:t>
      </w:r>
      <w:r>
        <w:t>średnicy rury co najmniej 35-51mm, regulowany od co najmniej 200-350mm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Konstrukcja aluminiowa x 6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>Średnica rury głównej: max. 50mm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Grubo</w:t>
      </w:r>
      <w:r>
        <w:t>ść ścianki rury głównej: min. 2mm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>Średnica lamelek: min. 20mm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D</w:t>
      </w:r>
      <w:r>
        <w:t>ługość odcinka: min. 200cm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Grubo</w:t>
      </w:r>
      <w:r>
        <w:t>ść ścianki lamelek: min. 2mm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Punktowe obci</w:t>
      </w:r>
      <w:r>
        <w:t>ążenie: min. 6m: 670kg, 8m: 507 kg, 10m: 394 kg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Stop: EN-AW 6082 T6 (AlMgSi1)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>Łączność: szybkozłączki z bolcem i zabezpieczeniem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 zestawie: 4 x szybkoz</w:t>
      </w:r>
      <w:r>
        <w:t>łączka, 8 x bolec, 8 x zabezpieczenie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Wyprodukowane zgodnie z: DIN 4112, DIN 4113-1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Wymiary: 290mm/290mm/2000mm</w:t>
      </w:r>
    </w:p>
    <w:p w:rsidR="00C944DC" w:rsidRDefault="008B7C93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Waga: max. 12</w:t>
      </w:r>
      <w:r w:rsidR="00C944DC">
        <w:rPr>
          <w:lang w:val="en-US"/>
        </w:rPr>
        <w:t xml:space="preserve"> kg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Konstrukcja aluminiowa x 2 szt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>Średnica rury głównej: max. 50mm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Grubo</w:t>
      </w:r>
      <w:r>
        <w:t>ść ścianki rury głównej: min. 2mm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>Średnica lamelek: min. 20mm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D</w:t>
      </w:r>
      <w:r>
        <w:t>ługość odcinka: min. 100cm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Grubo</w:t>
      </w:r>
      <w:r>
        <w:t>ść ścianki lamelek: min. 2mm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Punktowe obci</w:t>
      </w:r>
      <w:r>
        <w:t>ążenie: min. 6m: 670kg, 8m: 507 kg, 10m: 394 kg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lastRenderedPageBreak/>
        <w:t>Stop: EN-AW 6082 T6 (AlMgSi1)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t>Łączność: szybkozłączki z bolcem i zabezpieczeniem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 zestawie: 4 x szybkoz</w:t>
      </w:r>
      <w:r>
        <w:t>łączka, 8 x bolec, 8 x zabezpieczenie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Wyprodukowane zgodnie z: DIN 4112, DIN 4113-1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Wymiary: 290mm/290mm/1000mm</w:t>
      </w:r>
    </w:p>
    <w:p w:rsidR="00C944DC" w:rsidRDefault="008B7C93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Waga: max 7</w:t>
      </w:r>
      <w:r w:rsidR="00C944DC">
        <w:rPr>
          <w:lang w:val="en-US"/>
        </w:rPr>
        <w:t xml:space="preserve"> kg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Reflektor LED x 6 szt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Zasilanie: AC 100-220V, 50/60Hz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Zród</w:t>
      </w:r>
      <w:r>
        <w:t>ło światła: co najmniej  15 x 18W RGBWA 5w1 LED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K</w:t>
      </w:r>
      <w:r>
        <w:t>ąt świecenia: min. 25°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Gniazda DMX: XLR 3-pin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Gniazda zasilania: IEC wej</w:t>
      </w:r>
      <w:r>
        <w:t>ściowe, IEC wyjściowe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Wska</w:t>
      </w:r>
      <w:r>
        <w:t>źnik sterowania: wyświetlacz LED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Funkcje: wbudowane programy, zdefiniowane kolory, strobo, master/slave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Sterowanie: DMX, d</w:t>
      </w:r>
      <w:r>
        <w:t>źwięk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Ilo</w:t>
      </w:r>
      <w:r>
        <w:t>ść kanałów DMX: 2 tryby do wyboru (5/9 kanałów)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Mikrofon: wbudowany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Obudowa: aluminium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Temperatura pracy: do 40°C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Kabel DMX 1,5m w zestawie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</w:pPr>
      <w:r>
        <w:rPr>
          <w:lang w:val="en-US"/>
        </w:rPr>
        <w:t>Przewód wielo</w:t>
      </w:r>
      <w:r>
        <w:t xml:space="preserve">żyłowy typu </w:t>
      </w:r>
      <w:r w:rsidR="00801DCE" w:rsidRPr="00801DCE">
        <w:t>mu</w:t>
      </w:r>
      <w:r w:rsidRPr="00801DCE">
        <w:t>lticore</w:t>
      </w:r>
      <w:r>
        <w:t xml:space="preserve"> x 1 szt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Ilo</w:t>
      </w:r>
      <w:r>
        <w:t>ść wejść: min. 24 XLR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Ilo</w:t>
      </w:r>
      <w:r>
        <w:t>ść powrotów: min. 8 XLR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D</w:t>
      </w:r>
      <w:r>
        <w:t>ługość: min. 25m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Przewód DMX x 1 szt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D</w:t>
      </w:r>
      <w:r>
        <w:t>ługość: min. 30m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Wtyki XLR: 5 pin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Kabel: 110 OHM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Kolor: czarny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 zestawie przelotka DMX 5/3 pin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Przewód DMX x 1 szt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D</w:t>
      </w:r>
      <w:r>
        <w:t>ługość: min. 15m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Wtyki XLR: 3 pin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Kabel: 110 OHM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Kolor: czarny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Zacisk metalowy  x 6 szt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lastRenderedPageBreak/>
        <w:t>Max. obci</w:t>
      </w:r>
      <w:r>
        <w:t>ążenie: 25kg (55lb)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 xml:space="preserve">Pasuje do kratownicy i rur o </w:t>
      </w:r>
      <w:r>
        <w:t>średnicy 48-50 mm (1,89 "-1.97")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 xml:space="preserve">Kolor: srebrny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Wytwornica dymu x 1 szt 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Moc grza</w:t>
      </w:r>
      <w:r>
        <w:t xml:space="preserve">łki </w:t>
      </w:r>
      <w:r w:rsidR="0058237D">
        <w:t>co najmniej 14</w:t>
      </w:r>
      <w:r>
        <w:t>00 W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Kompaktowy rozmiar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Gniazda DMX 3pin i 5pin</w:t>
      </w:r>
    </w:p>
    <w:p w:rsidR="00C944DC" w:rsidRDefault="0058237D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 xml:space="preserve">Bezprzewodowe zdalny odbiornik DIN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Wyposa</w:t>
      </w:r>
      <w:r>
        <w:t xml:space="preserve">żony w uchwyt </w:t>
      </w:r>
    </w:p>
    <w:p w:rsidR="00C944DC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 xml:space="preserve">Funkcja inteligentnego </w:t>
      </w:r>
      <w:r w:rsidR="0058237D">
        <w:rPr>
          <w:lang w:val="en-US"/>
        </w:rPr>
        <w:t>świecenia LEDRGB</w:t>
      </w:r>
    </w:p>
    <w:p w:rsidR="00C944DC" w:rsidRDefault="0058237D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>
        <w:rPr>
          <w:lang w:val="en-US"/>
        </w:rPr>
        <w:t>Szybki czas gotowości (poniżej 9 minut)</w:t>
      </w:r>
    </w:p>
    <w:p w:rsidR="00C944DC" w:rsidRDefault="0058237D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>
        <w:rPr>
          <w:lang w:val="en-US"/>
        </w:rPr>
        <w:t>Skuteczność co najmniej 470m3 na minutę</w:t>
      </w:r>
    </w:p>
    <w:p w:rsidR="00C944DC" w:rsidRDefault="00C944DC" w:rsidP="0058237D">
      <w:pPr>
        <w:autoSpaceDE w:val="0"/>
        <w:autoSpaceDN w:val="0"/>
        <w:adjustRightInd w:val="0"/>
        <w:ind w:left="720"/>
        <w:rPr>
          <w:lang w:val="en-US"/>
        </w:rPr>
      </w:pPr>
    </w:p>
    <w:sectPr w:rsidR="00C944DC" w:rsidSect="00C132BD">
      <w:footerReference w:type="even" r:id="rId9"/>
      <w:footerReference w:type="default" r:id="rId10"/>
      <w:pgSz w:w="12240" w:h="15840"/>
      <w:pgMar w:top="851" w:right="1080" w:bottom="1440" w:left="1440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47E" w:rsidRDefault="0080647E">
      <w:r>
        <w:separator/>
      </w:r>
    </w:p>
  </w:endnote>
  <w:endnote w:type="continuationSeparator" w:id="1">
    <w:p w:rsidR="0080647E" w:rsidRDefault="00806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1A" w:rsidRDefault="00F971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A721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A721A" w:rsidRDefault="00CA721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1A" w:rsidRDefault="00F971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A721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F35A6">
      <w:rPr>
        <w:rStyle w:val="Numerstrony"/>
        <w:noProof/>
      </w:rPr>
      <w:t>8</w:t>
    </w:r>
    <w:r>
      <w:rPr>
        <w:rStyle w:val="Numerstrony"/>
      </w:rPr>
      <w:fldChar w:fldCharType="end"/>
    </w:r>
  </w:p>
  <w:p w:rsidR="00CA721A" w:rsidRDefault="00CA721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47E" w:rsidRDefault="0080647E">
      <w:r>
        <w:separator/>
      </w:r>
    </w:p>
  </w:footnote>
  <w:footnote w:type="continuationSeparator" w:id="1">
    <w:p w:rsidR="0080647E" w:rsidRDefault="008064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D3C0F02"/>
    <w:lvl w:ilvl="0">
      <w:numFmt w:val="bullet"/>
      <w:lvlText w:val="*"/>
      <w:lvlJc w:val="left"/>
    </w:lvl>
  </w:abstractNum>
  <w:abstractNum w:abstractNumId="1">
    <w:nsid w:val="2D4310F3"/>
    <w:multiLevelType w:val="multilevel"/>
    <w:tmpl w:val="E4D2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0A6406"/>
    <w:multiLevelType w:val="hybridMultilevel"/>
    <w:tmpl w:val="CF2E9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33065"/>
    <w:multiLevelType w:val="hybridMultilevel"/>
    <w:tmpl w:val="42CE2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A3610"/>
    <w:multiLevelType w:val="multilevel"/>
    <w:tmpl w:val="7E7E1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3045AE"/>
    <w:multiLevelType w:val="multilevel"/>
    <w:tmpl w:val="E6FE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FE1"/>
    <w:rsid w:val="00010CC2"/>
    <w:rsid w:val="0002096D"/>
    <w:rsid w:val="00080C75"/>
    <w:rsid w:val="000922B1"/>
    <w:rsid w:val="000C3497"/>
    <w:rsid w:val="000C3F56"/>
    <w:rsid w:val="000D35DD"/>
    <w:rsid w:val="000F35A6"/>
    <w:rsid w:val="000F656A"/>
    <w:rsid w:val="001128CA"/>
    <w:rsid w:val="00161599"/>
    <w:rsid w:val="001B3529"/>
    <w:rsid w:val="001D48A4"/>
    <w:rsid w:val="001D6462"/>
    <w:rsid w:val="00253BEE"/>
    <w:rsid w:val="002643C2"/>
    <w:rsid w:val="00282F53"/>
    <w:rsid w:val="0029573E"/>
    <w:rsid w:val="002A0915"/>
    <w:rsid w:val="002C08B9"/>
    <w:rsid w:val="002D376B"/>
    <w:rsid w:val="002E0B74"/>
    <w:rsid w:val="002F39F2"/>
    <w:rsid w:val="00312540"/>
    <w:rsid w:val="0032502A"/>
    <w:rsid w:val="00332C6A"/>
    <w:rsid w:val="00333C50"/>
    <w:rsid w:val="003649B9"/>
    <w:rsid w:val="003868D7"/>
    <w:rsid w:val="003905B2"/>
    <w:rsid w:val="003A428E"/>
    <w:rsid w:val="003D3713"/>
    <w:rsid w:val="003D70F6"/>
    <w:rsid w:val="003E540E"/>
    <w:rsid w:val="004103F7"/>
    <w:rsid w:val="00423747"/>
    <w:rsid w:val="00467F5B"/>
    <w:rsid w:val="004B3FD4"/>
    <w:rsid w:val="005154C5"/>
    <w:rsid w:val="005165B8"/>
    <w:rsid w:val="00542FE3"/>
    <w:rsid w:val="005437BA"/>
    <w:rsid w:val="00544199"/>
    <w:rsid w:val="0058237D"/>
    <w:rsid w:val="00584E12"/>
    <w:rsid w:val="00595CFF"/>
    <w:rsid w:val="00596E30"/>
    <w:rsid w:val="005A3788"/>
    <w:rsid w:val="00611586"/>
    <w:rsid w:val="00622C4E"/>
    <w:rsid w:val="00623B5B"/>
    <w:rsid w:val="00665568"/>
    <w:rsid w:val="00667CFD"/>
    <w:rsid w:val="006875E0"/>
    <w:rsid w:val="006B1921"/>
    <w:rsid w:val="006F5047"/>
    <w:rsid w:val="00741532"/>
    <w:rsid w:val="007438D1"/>
    <w:rsid w:val="007474D2"/>
    <w:rsid w:val="0076423D"/>
    <w:rsid w:val="00767A2E"/>
    <w:rsid w:val="00791295"/>
    <w:rsid w:val="007B6612"/>
    <w:rsid w:val="007E0388"/>
    <w:rsid w:val="007E49C5"/>
    <w:rsid w:val="00801DCE"/>
    <w:rsid w:val="0080647E"/>
    <w:rsid w:val="00837E70"/>
    <w:rsid w:val="0085781E"/>
    <w:rsid w:val="00887E44"/>
    <w:rsid w:val="00887FE0"/>
    <w:rsid w:val="008A46B5"/>
    <w:rsid w:val="008A6431"/>
    <w:rsid w:val="008B621E"/>
    <w:rsid w:val="008B7C93"/>
    <w:rsid w:val="008C05D9"/>
    <w:rsid w:val="008C4F99"/>
    <w:rsid w:val="008D20BB"/>
    <w:rsid w:val="008E1B6D"/>
    <w:rsid w:val="008F7DD5"/>
    <w:rsid w:val="009237E3"/>
    <w:rsid w:val="009346CA"/>
    <w:rsid w:val="00935C7F"/>
    <w:rsid w:val="00944614"/>
    <w:rsid w:val="009B0698"/>
    <w:rsid w:val="00A634A6"/>
    <w:rsid w:val="00A64204"/>
    <w:rsid w:val="00A764E2"/>
    <w:rsid w:val="00AB4AAF"/>
    <w:rsid w:val="00AC1623"/>
    <w:rsid w:val="00AC7408"/>
    <w:rsid w:val="00AF15AB"/>
    <w:rsid w:val="00B334A9"/>
    <w:rsid w:val="00B34125"/>
    <w:rsid w:val="00B37164"/>
    <w:rsid w:val="00B72A53"/>
    <w:rsid w:val="00B86DB7"/>
    <w:rsid w:val="00B90790"/>
    <w:rsid w:val="00B9467F"/>
    <w:rsid w:val="00BD5E3D"/>
    <w:rsid w:val="00BF0A04"/>
    <w:rsid w:val="00C049EC"/>
    <w:rsid w:val="00C132BD"/>
    <w:rsid w:val="00C5075D"/>
    <w:rsid w:val="00C52132"/>
    <w:rsid w:val="00C578B5"/>
    <w:rsid w:val="00C6752E"/>
    <w:rsid w:val="00C74DAB"/>
    <w:rsid w:val="00C80692"/>
    <w:rsid w:val="00C91603"/>
    <w:rsid w:val="00C944DC"/>
    <w:rsid w:val="00CA721A"/>
    <w:rsid w:val="00CB68A5"/>
    <w:rsid w:val="00CD1CDD"/>
    <w:rsid w:val="00CE1164"/>
    <w:rsid w:val="00CE6D89"/>
    <w:rsid w:val="00CF67C1"/>
    <w:rsid w:val="00D03FE1"/>
    <w:rsid w:val="00D10A56"/>
    <w:rsid w:val="00D13B7C"/>
    <w:rsid w:val="00D15673"/>
    <w:rsid w:val="00D32C6B"/>
    <w:rsid w:val="00D34F8D"/>
    <w:rsid w:val="00D37643"/>
    <w:rsid w:val="00D520B6"/>
    <w:rsid w:val="00D62D0F"/>
    <w:rsid w:val="00E128D7"/>
    <w:rsid w:val="00E470CC"/>
    <w:rsid w:val="00E60B92"/>
    <w:rsid w:val="00E84E4A"/>
    <w:rsid w:val="00EA54D2"/>
    <w:rsid w:val="00EB1F2D"/>
    <w:rsid w:val="00EB30AA"/>
    <w:rsid w:val="00EB72AC"/>
    <w:rsid w:val="00EE6A70"/>
    <w:rsid w:val="00F0349B"/>
    <w:rsid w:val="00F40DA6"/>
    <w:rsid w:val="00F44409"/>
    <w:rsid w:val="00F602B3"/>
    <w:rsid w:val="00F7292E"/>
    <w:rsid w:val="00F73450"/>
    <w:rsid w:val="00F9712D"/>
    <w:rsid w:val="00FB19E1"/>
    <w:rsid w:val="00FE4B37"/>
    <w:rsid w:val="00FF5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54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32BD"/>
    <w:pPr>
      <w:keepNext/>
      <w:autoSpaceDE w:val="0"/>
      <w:autoSpaceDN w:val="0"/>
      <w:adjustRightInd w:val="0"/>
      <w:spacing w:line="360" w:lineRule="auto"/>
      <w:ind w:right="1365"/>
      <w:outlineLvl w:val="0"/>
    </w:pPr>
    <w:rPr>
      <w:rFonts w:ascii="Calibri" w:hAnsi="Calibri" w:cs="Tahoma"/>
      <w:b/>
      <w:bCs/>
      <w:color w:val="00000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5E3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32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F67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12540"/>
    <w:pPr>
      <w:autoSpaceDE w:val="0"/>
      <w:autoSpaceDN w:val="0"/>
      <w:adjustRightInd w:val="0"/>
      <w:spacing w:line="360" w:lineRule="auto"/>
      <w:ind w:right="1365"/>
      <w:jc w:val="both"/>
    </w:pPr>
    <w:rPr>
      <w:rFonts w:ascii="Tahoma" w:hAnsi="Tahoma" w:cs="Tahoma"/>
      <w:color w:val="000000"/>
      <w:sz w:val="20"/>
      <w:szCs w:val="20"/>
    </w:rPr>
  </w:style>
  <w:style w:type="paragraph" w:styleId="Tekstblokowy">
    <w:name w:val="Block Text"/>
    <w:basedOn w:val="Normalny"/>
    <w:semiHidden/>
    <w:rsid w:val="00312540"/>
    <w:pPr>
      <w:tabs>
        <w:tab w:val="left" w:pos="45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left="360" w:right="1395"/>
    </w:pPr>
    <w:rPr>
      <w:rFonts w:ascii="Tahoma" w:hAnsi="Tahoma" w:cs="Tahoma"/>
      <w:color w:val="000000"/>
      <w:sz w:val="20"/>
      <w:szCs w:val="20"/>
    </w:rPr>
  </w:style>
  <w:style w:type="paragraph" w:styleId="Tekstpodstawowywcity">
    <w:name w:val="Body Text Indent"/>
    <w:basedOn w:val="Normalny"/>
    <w:semiHidden/>
    <w:rsid w:val="00312540"/>
    <w:pPr>
      <w:tabs>
        <w:tab w:val="left" w:pos="540"/>
      </w:tabs>
      <w:autoSpaceDE w:val="0"/>
      <w:autoSpaceDN w:val="0"/>
      <w:adjustRightInd w:val="0"/>
      <w:spacing w:line="360" w:lineRule="auto"/>
      <w:ind w:left="540"/>
    </w:pPr>
    <w:rPr>
      <w:rFonts w:ascii="Tahoma" w:hAnsi="Tahoma" w:cs="Tahoma"/>
      <w:color w:val="000000"/>
      <w:sz w:val="20"/>
      <w:szCs w:val="20"/>
    </w:rPr>
  </w:style>
  <w:style w:type="paragraph" w:styleId="Tekstpodstawowy2">
    <w:name w:val="Body Text 2"/>
    <w:basedOn w:val="Normalny"/>
    <w:semiHidden/>
    <w:rsid w:val="00312540"/>
    <w:pPr>
      <w:tabs>
        <w:tab w:val="left" w:pos="540"/>
        <w:tab w:val="left" w:pos="72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right="1380"/>
      <w:jc w:val="both"/>
    </w:pPr>
    <w:rPr>
      <w:rFonts w:ascii="Tahoma" w:hAnsi="Tahoma" w:cs="Tahoma"/>
      <w:color w:val="000000"/>
      <w:sz w:val="20"/>
      <w:szCs w:val="20"/>
    </w:rPr>
  </w:style>
  <w:style w:type="paragraph" w:styleId="Stopka">
    <w:name w:val="footer"/>
    <w:basedOn w:val="Normalny"/>
    <w:semiHidden/>
    <w:rsid w:val="0031254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12540"/>
  </w:style>
  <w:style w:type="paragraph" w:styleId="Nagwek">
    <w:name w:val="header"/>
    <w:basedOn w:val="Normalny"/>
    <w:link w:val="NagwekZnak"/>
    <w:uiPriority w:val="99"/>
    <w:unhideWhenUsed/>
    <w:rsid w:val="006115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586"/>
    <w:rPr>
      <w:sz w:val="24"/>
      <w:szCs w:val="24"/>
    </w:rPr>
  </w:style>
  <w:style w:type="paragraph" w:customStyle="1" w:styleId="Adresodbiorcywlicie">
    <w:name w:val="Adres odbiorcy w liście"/>
    <w:basedOn w:val="Normalny"/>
    <w:rsid w:val="00282F53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282F5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282F5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B352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BD5E3D"/>
    <w:pPr>
      <w:jc w:val="center"/>
    </w:pPr>
    <w:rPr>
      <w:rFonts w:ascii="Arial Narrow" w:hAnsi="Arial Narrow"/>
      <w:sz w:val="32"/>
    </w:rPr>
  </w:style>
  <w:style w:type="character" w:customStyle="1" w:styleId="TytuZnak">
    <w:name w:val="Tytuł Znak"/>
    <w:basedOn w:val="Domylnaczcionkaakapitu"/>
    <w:link w:val="Tytu"/>
    <w:rsid w:val="00BD5E3D"/>
    <w:rPr>
      <w:rFonts w:ascii="Arial Narrow" w:hAnsi="Arial Narrow"/>
      <w:sz w:val="32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D5E3D"/>
    <w:rPr>
      <w:rFonts w:asciiTheme="minorHAnsi" w:eastAsiaTheme="majorEastAsia" w:hAnsiTheme="min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132BD"/>
    <w:rPr>
      <w:rFonts w:asciiTheme="majorHAnsi" w:eastAsiaTheme="majorEastAsia" w:hAnsiTheme="majorHAnsi" w:cstheme="majorBidi"/>
      <w:b/>
      <w:bCs/>
      <w:sz w:val="22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F67C1"/>
    <w:rPr>
      <w:rFonts w:asciiTheme="majorHAnsi" w:eastAsiaTheme="majorEastAsia" w:hAnsiTheme="majorHAnsi" w:cstheme="majorBidi"/>
      <w:b/>
      <w:bCs/>
      <w:i/>
      <w:iCs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2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32B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2096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2096D"/>
    <w:rPr>
      <w:b/>
      <w:bCs/>
    </w:rPr>
  </w:style>
  <w:style w:type="character" w:customStyle="1" w:styleId="product-feature">
    <w:name w:val="product-feature"/>
    <w:basedOn w:val="Domylnaczcionkaakapitu"/>
    <w:rsid w:val="0002096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54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32BD"/>
    <w:pPr>
      <w:keepNext/>
      <w:autoSpaceDE w:val="0"/>
      <w:autoSpaceDN w:val="0"/>
      <w:adjustRightInd w:val="0"/>
      <w:spacing w:line="360" w:lineRule="auto"/>
      <w:ind w:right="1365"/>
      <w:outlineLvl w:val="0"/>
    </w:pPr>
    <w:rPr>
      <w:rFonts w:ascii="Calibri" w:hAnsi="Calibri" w:cs="Tahoma"/>
      <w:b/>
      <w:bCs/>
      <w:color w:val="00000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5E3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32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F67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12540"/>
    <w:pPr>
      <w:autoSpaceDE w:val="0"/>
      <w:autoSpaceDN w:val="0"/>
      <w:adjustRightInd w:val="0"/>
      <w:spacing w:line="360" w:lineRule="auto"/>
      <w:ind w:right="1365"/>
      <w:jc w:val="both"/>
    </w:pPr>
    <w:rPr>
      <w:rFonts w:ascii="Tahoma" w:hAnsi="Tahoma" w:cs="Tahoma"/>
      <w:color w:val="000000"/>
      <w:sz w:val="20"/>
      <w:szCs w:val="20"/>
    </w:rPr>
  </w:style>
  <w:style w:type="paragraph" w:styleId="Bloktekstu">
    <w:name w:val="Block Text"/>
    <w:basedOn w:val="Normalny"/>
    <w:semiHidden/>
    <w:rsid w:val="00312540"/>
    <w:pPr>
      <w:tabs>
        <w:tab w:val="left" w:pos="45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left="360" w:right="1395"/>
    </w:pPr>
    <w:rPr>
      <w:rFonts w:ascii="Tahoma" w:hAnsi="Tahoma" w:cs="Tahoma"/>
      <w:color w:val="000000"/>
      <w:sz w:val="20"/>
      <w:szCs w:val="20"/>
    </w:rPr>
  </w:style>
  <w:style w:type="paragraph" w:styleId="Tekstpodstawowywcity">
    <w:name w:val="Body Text Indent"/>
    <w:basedOn w:val="Normalny"/>
    <w:semiHidden/>
    <w:rsid w:val="00312540"/>
    <w:pPr>
      <w:tabs>
        <w:tab w:val="left" w:pos="540"/>
      </w:tabs>
      <w:autoSpaceDE w:val="0"/>
      <w:autoSpaceDN w:val="0"/>
      <w:adjustRightInd w:val="0"/>
      <w:spacing w:line="360" w:lineRule="auto"/>
      <w:ind w:left="540"/>
    </w:pPr>
    <w:rPr>
      <w:rFonts w:ascii="Tahoma" w:hAnsi="Tahoma" w:cs="Tahoma"/>
      <w:color w:val="000000"/>
      <w:sz w:val="20"/>
      <w:szCs w:val="20"/>
    </w:rPr>
  </w:style>
  <w:style w:type="paragraph" w:styleId="Tekstpodstawowy2">
    <w:name w:val="Body Text 2"/>
    <w:basedOn w:val="Normalny"/>
    <w:semiHidden/>
    <w:rsid w:val="00312540"/>
    <w:pPr>
      <w:tabs>
        <w:tab w:val="left" w:pos="540"/>
        <w:tab w:val="left" w:pos="72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right="1380"/>
      <w:jc w:val="both"/>
    </w:pPr>
    <w:rPr>
      <w:rFonts w:ascii="Tahoma" w:hAnsi="Tahoma" w:cs="Tahoma"/>
      <w:color w:val="000000"/>
      <w:sz w:val="20"/>
      <w:szCs w:val="20"/>
    </w:rPr>
  </w:style>
  <w:style w:type="paragraph" w:styleId="Stopka">
    <w:name w:val="footer"/>
    <w:basedOn w:val="Normalny"/>
    <w:semiHidden/>
    <w:rsid w:val="0031254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12540"/>
  </w:style>
  <w:style w:type="paragraph" w:styleId="Nagwek">
    <w:name w:val="header"/>
    <w:basedOn w:val="Normalny"/>
    <w:link w:val="NagwekZnak"/>
    <w:uiPriority w:val="99"/>
    <w:unhideWhenUsed/>
    <w:rsid w:val="006115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586"/>
    <w:rPr>
      <w:sz w:val="24"/>
      <w:szCs w:val="24"/>
    </w:rPr>
  </w:style>
  <w:style w:type="paragraph" w:customStyle="1" w:styleId="Adresodbiorcywlicie">
    <w:name w:val="Adres odbiorcy w liście"/>
    <w:basedOn w:val="Normalny"/>
    <w:rsid w:val="00282F53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282F5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282F5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B352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BD5E3D"/>
    <w:pPr>
      <w:jc w:val="center"/>
    </w:pPr>
    <w:rPr>
      <w:rFonts w:ascii="Arial Narrow" w:hAnsi="Arial Narrow"/>
      <w:sz w:val="32"/>
    </w:rPr>
  </w:style>
  <w:style w:type="character" w:customStyle="1" w:styleId="TytuZnak">
    <w:name w:val="Tytuł Znak"/>
    <w:basedOn w:val="Domylnaczcionkaakapitu"/>
    <w:link w:val="Tytu"/>
    <w:rsid w:val="00BD5E3D"/>
    <w:rPr>
      <w:rFonts w:ascii="Arial Narrow" w:hAnsi="Arial Narrow"/>
      <w:sz w:val="32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D5E3D"/>
    <w:rPr>
      <w:rFonts w:asciiTheme="minorHAnsi" w:eastAsiaTheme="majorEastAsia" w:hAnsiTheme="min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132BD"/>
    <w:rPr>
      <w:rFonts w:asciiTheme="majorHAnsi" w:eastAsiaTheme="majorEastAsia" w:hAnsiTheme="majorHAnsi" w:cstheme="majorBidi"/>
      <w:b/>
      <w:bCs/>
      <w:sz w:val="22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F67C1"/>
    <w:rPr>
      <w:rFonts w:asciiTheme="majorHAnsi" w:eastAsiaTheme="majorEastAsia" w:hAnsiTheme="majorHAnsi" w:cstheme="majorBidi"/>
      <w:b/>
      <w:bCs/>
      <w:i/>
      <w:iCs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2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32B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2096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2096D"/>
    <w:rPr>
      <w:b/>
      <w:bCs/>
    </w:rPr>
  </w:style>
  <w:style w:type="character" w:customStyle="1" w:styleId="product-feature">
    <w:name w:val="product-feature"/>
    <w:basedOn w:val="Domylnaczcionkaakapitu"/>
    <w:rsid w:val="000209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1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EB110-9D75-5E49-A014-89FF13BE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1758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Ogólna specyfikacja techniczna wykonania i odbioru robót budowlanych</vt:lpstr>
    </vt:vector>
  </TitlesOfParts>
  <Company>Nadzór i projektowanie budynków</Company>
  <LinksUpToDate>false</LinksUpToDate>
  <CharactersWithSpaces>12288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Ogólna specyfikacja techniczna wykonania i odbioru robót budowlanych</dc:title>
  <dc:creator>M. Sołowska</dc:creator>
  <cp:lastModifiedBy>Magdalena Olszewska</cp:lastModifiedBy>
  <cp:revision>2</cp:revision>
  <cp:lastPrinted>2018-05-14T12:03:00Z</cp:lastPrinted>
  <dcterms:created xsi:type="dcterms:W3CDTF">2018-05-14T12:04:00Z</dcterms:created>
  <dcterms:modified xsi:type="dcterms:W3CDTF">2018-05-14T12:04:00Z</dcterms:modified>
</cp:coreProperties>
</file>